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http://schemas.openxmlformats.org/wordprocessingml/2006/main">
  <w:body>
    <w:p>
      <w:pPr>
        <w:pStyle w:val="1"/>
        <w:spacing w:before="400" w:after="200"/>
        <w:ind w:left="0" w:leftChars="0" w:firstLine="0" w:firstLineChars="0"/>
        <w:rPr>
          <w:color w:val="auto"/>
        </w:rPr>
      </w:pPr>
      <w:bookmarkStart w:id="0" w:name="_GoBack"/>
      <w:bookmarkEnd w:id="0"/>
    </w:p>
    <w:p>
      <w:pPr>
        <w:pStyle w:val="1"/>
        <w:spacing w:before="200" w:after="600" w:line="360" w:lineRule="auto"/>
        <w:ind w:firstLine="0"/>
        <w:jc w:val="center"/>
        <w:rPr>
          <w:color w:val="auto"/>
        </w:rPr>
      </w:pPr>
      <w:r>
        <w:rPr>
          <w:rFonts w:ascii="黑体" w:hAnsi="黑体" w:eastAsia="黑体" w:cs="黑体"/>
          <w:b/>
          <w:sz w:val="32"/>
          <w:szCs w:val="22"/>
        </w:rPr>
        <w:t>从民事法律关系角度论述《民法典》内容体系</w:t>
      </w:r>
    </w:p>
    <w:p>
      <w:pPr>
        <w:pStyle w:val="1"/>
        <w:spacing w:before="0" w:after="0" w:line="360" w:lineRule="auto"/>
        <w:ind w:firstLine="480"/>
        <w:rPr>
          <w:color w:val="auto"/>
        </w:rPr>
      </w:pPr>
      <w:r>
        <w:rPr>
          <w:rFonts w:ascii="宋体" w:hAnsi="宋体" w:eastAsia="宋体" w:cs="宋体"/>
          <w:sz w:val="24"/>
          <w:szCs w:val="22"/>
        </w:rPr>
        <w:t>民事法律关系是民法规范作用于社会生活的基本纽带，堪称民法理论体系的逻辑起点。王泽鉴先生曾言，民法之任务在于通过民事法律关系实现对社会关系的调整。《中华人民共和国民法典》的编纂，其体系架构的展开始终未脱离民事法律关系这一理论主轴。循此思路加以观察，法典内容得以被归入"主体—客体—内容"的三维分析框架：各类民事主体在其中被赋予不同的法律地位，权利客体的范围得到明确界定，而具体的权利义务配置则构成了法律关系的内容本身。有鉴于此，本文尝试以三要素理论为分析工具，对《民法典》的体系构造作一番学理梳理。</w:t>
      </w:r>
    </w:p>
    <w:p>
      <w:pPr>
        <w:pStyle w:val="1"/>
        <w:keepNext/>
        <w:keepLines/>
        <w:spacing w:before="400" w:after="200" w:line="360" w:lineRule="auto"/>
        <w:ind w:firstLine="0"/>
        <w:rPr>
          <w:color w:val="auto"/>
        </w:rPr>
      </w:pPr>
      <w:r>
        <w:rPr>
          <w:rFonts w:ascii="黑体" w:hAnsi="黑体" w:eastAsia="黑体" w:cs="黑体"/>
          <w:b/>
          <w:sz w:val="28"/>
          <w:szCs w:val="22"/>
        </w:rPr>
        <w:t>一、民事法律关系与民法典体系概述</w:t>
      </w:r>
    </w:p>
    <w:p>
      <w:pPr>
        <w:pStyle w:val="1"/>
        <w:spacing w:before="0" w:after="0" w:line="360" w:lineRule="auto"/>
        <w:ind w:firstLine="480"/>
        <w:rPr>
          <w:color w:val="auto"/>
        </w:rPr>
      </w:pPr>
      <w:r>
        <w:rPr>
          <w:rFonts w:ascii="宋体" w:hAnsi="宋体" w:eastAsia="宋体" w:cs="宋体"/>
          <w:sz w:val="24"/>
          <w:szCs w:val="22"/>
        </w:rPr>
        <w:t>何为民事法律关系？学界通说将其界定为经由民法规范调整、以权利义务为实质内容的社会关系。这种关系并非凭空产生，而是民法介入平等主体间人身关系与财产关系后的规范产物，是民法条文在现实世界中的具象化呈现。依传统民法理论，任何一项民事法律关系均由三项要素构成：主体——即法律关系的参加者；客体——即权利义务所指向的对象；内容——即主体间具体的权利义务安排。三者缺一不可，共同搭建了民事法律关系的完整分析框架。</w:t>
      </w:r>
    </w:p>
    <w:p>
      <w:pPr>
        <w:pStyle w:val="1"/>
        <w:spacing w:before="0" w:after="0" w:line="360" w:lineRule="auto"/>
        <w:ind w:firstLine="480"/>
        <w:rPr>
          <w:color w:val="auto"/>
        </w:rPr>
      </w:pPr>
      <w:r>
        <w:rPr>
          <w:rFonts w:ascii="宋体" w:hAnsi="宋体" w:eastAsia="宋体" w:cs="宋体"/>
          <w:sz w:val="24"/>
          <w:szCs w:val="22"/>
        </w:rPr>
        <w:t>现行《民法典》凡七编、一千二百六十条，其编章体例的排布绝非偶然，而是深植于民事法律关系的理论脉络之中。总则编居于首位，统摄全局，规定的是民事法律关系的共通准则；物权编、合同编、人格权编、婚姻家庭编、继承编及侵权责任编依次展开，分别对应着不同类型的具体法律关系。《民法典》的这一体例安排，在学理上可被解读为一条"从一般到个别、从抽象到具象"的逻辑链条——总则提取公因式，各分编则对具体关系类型予以展开。</w:t>
      </w:r>
    </w:p>
    <w:p>
      <w:pPr>
        <w:pStyle w:val="1"/>
        <w:spacing w:before="0" w:after="0" w:line="360" w:lineRule="auto"/>
        <w:ind w:firstLine="480"/>
        <w:rPr>
          <w:color w:val="auto"/>
        </w:rPr>
      </w:pPr>
      <w:r>
        <w:rPr>
          <w:rFonts w:ascii="宋体" w:hAnsi="宋体" w:eastAsia="宋体" w:cs="宋体"/>
          <w:sz w:val="24"/>
          <w:szCs w:val="22"/>
        </w:rPr>
        <w:t>若将视野转向比较法，便可发现《民法典》并未机械移植大陆法系传统的三编或五编体例，而是立足本土实践、汲取域外经验后作出的创造性转化。人格权独立成编即为一例。这一体例安排突破了《德国民法典》《日本民法典》等传统范式，将人格权从总则或侵权法的附庸地位中解放出来，升格为与物权、合同并列的独立一编。此种制度安排，一方面回应了信息时代人格尊严保护的迫切需求，另一方面也正式确认了人身法律关系在民法体系中的独立地位。以下，笔者将循"主体—客体—内容"的分析进路，逐次展开对《民法典》各编的学理解读。</w:t>
      </w:r>
    </w:p>
    <w:p>
      <w:pPr>
        <w:pStyle w:val="1"/>
        <w:keepNext/>
        <w:keepLines/>
        <w:spacing w:before="400" w:after="200" w:line="360" w:lineRule="auto"/>
        <w:ind w:firstLine="0"/>
        <w:rPr>
          <w:color w:val="auto"/>
        </w:rPr>
      </w:pPr>
      <w:r>
        <w:rPr>
          <w:rFonts w:ascii="黑体" w:hAnsi="黑体" w:eastAsia="黑体" w:cs="黑体"/>
          <w:b/>
          <w:sz w:val="28"/>
          <w:szCs w:val="22"/>
        </w:rPr>
        <w:t>二、民事法律关系主体与《民法典》的主体制度</w:t>
      </w:r>
    </w:p>
    <w:p>
      <w:pPr>
        <w:pStyle w:val="1"/>
        <w:spacing w:before="0" w:after="0" w:line="360" w:lineRule="auto"/>
        <w:ind w:firstLine="480"/>
        <w:rPr>
          <w:color w:val="auto"/>
        </w:rPr>
      </w:pPr>
      <w:r>
        <w:rPr>
          <w:rFonts w:ascii="宋体" w:hAnsi="宋体" w:eastAsia="宋体" w:cs="宋体"/>
          <w:sz w:val="24"/>
          <w:szCs w:val="22"/>
        </w:rPr>
        <w:t>民事法律关系主体，即我们通常所说的民事主体，系指依法享有权利并承担义务的参加者。从逻辑层面看，主体乃法律关系得以成立的先决条件——倘若欠缺主体，权利便失去归属，义务亦无从附着。《民法典》总则编第一至四章对主体制度作了系统建构，形成了自然人、法人、非法人组织三元并立的格局，这一结构与《民法通则》时代自然人与法人的"二元分立"已有显著不同。</w:t>
      </w:r>
    </w:p>
    <w:p>
      <w:pPr>
        <w:pStyle w:val="1"/>
        <w:keepNext/>
        <w:spacing w:before="200" w:after="100" w:line="360" w:lineRule="auto"/>
        <w:ind w:firstLine="0"/>
        <w:rPr>
          <w:color w:val="auto"/>
        </w:rPr>
      </w:pPr>
      <w:r>
        <w:rPr>
          <w:rFonts w:ascii="黑体" w:hAnsi="黑体" w:eastAsia="黑体" w:cs="黑体"/>
          <w:b/>
          <w:sz w:val="24"/>
          <w:szCs w:val="22"/>
        </w:rPr>
        <w:t>（一）自然人</w:t>
      </w:r>
    </w:p>
    <w:p>
      <w:pPr>
        <w:pStyle w:val="1"/>
        <w:spacing w:before="0" w:after="0" w:line="360" w:lineRule="auto"/>
        <w:ind w:firstLine="480"/>
        <w:rPr>
          <w:color w:val="auto"/>
        </w:rPr>
      </w:pPr>
      <w:r>
        <w:rPr>
          <w:rFonts w:ascii="宋体" w:hAnsi="宋体" w:eastAsia="宋体" w:cs="宋体"/>
          <w:sz w:val="24"/>
          <w:szCs w:val="22"/>
        </w:rPr>
        <w:t>在各类主体中，自然人无疑是最为基础和普遍的类型。第十三条以"从出生到死亡"的生命周期为时间跨度，确立了权利能力的普遍性——只要生而为人，即享有权利能力。然而，权利能力仅解决"能不能享有权利"的问题，民事行为能力的设置则进一步回应了"能不能独立实施行为"的问题。《民法典》依据年龄与辨识能力两个标准，将自然人区分为完全行为能力人、限制行为能力人与无行为能力人，这一阶梯式的制度安排兼顾了交易安全与弱者保护的双重价值。</w:t>
      </w:r>
    </w:p>
    <w:p>
      <w:pPr>
        <w:pStyle w:val="1"/>
        <w:spacing w:before="0" w:after="0" w:line="360" w:lineRule="auto"/>
        <w:ind w:firstLine="480"/>
        <w:rPr>
          <w:color w:val="auto"/>
        </w:rPr>
      </w:pPr>
      <w:r>
        <w:rPr>
          <w:rFonts w:ascii="宋体" w:hAnsi="宋体" w:eastAsia="宋体" w:cs="宋体"/>
          <w:sz w:val="24"/>
          <w:szCs w:val="22"/>
        </w:rPr>
        <w:t>监护制度紧接行为能力制度而来。《民法典》第二十七条至第三十九条对监护人的确定方式、职责范围、资格撤销与恢复等作了详尽规定，其立法意旨在于为行为能力欠缺者搭建一道权利保护的屏障。除此之外，法典还确认了个体工商户与农村承包经营户的特别主体地位。这两类主体虽以自然人资格为基础，却在经营活动中呈现出一定的组织化特征，赋予其相对独立的主体地位，有助于明晰交易中的责任归属、维护市场秩序的稳定。</w:t>
      </w:r>
    </w:p>
    <w:p>
      <w:pPr>
        <w:pStyle w:val="1"/>
        <w:keepNext/>
        <w:spacing w:before="200" w:after="100" w:line="360" w:lineRule="auto"/>
        <w:ind w:firstLine="0"/>
        <w:rPr>
          <w:color w:val="auto"/>
        </w:rPr>
      </w:pPr>
      <w:r>
        <w:rPr>
          <w:rFonts w:ascii="黑体" w:hAnsi="黑体" w:eastAsia="黑体" w:cs="黑体"/>
          <w:b/>
          <w:sz w:val="24"/>
          <w:szCs w:val="22"/>
        </w:rPr>
        <w:t>（二）法人</w:t>
      </w:r>
    </w:p>
    <w:p>
      <w:pPr>
        <w:pStyle w:val="1"/>
        <w:spacing w:before="0" w:after="0" w:line="360" w:lineRule="auto"/>
        <w:ind w:firstLine="480"/>
        <w:rPr>
          <w:color w:val="auto"/>
        </w:rPr>
      </w:pPr>
      <w:r>
        <w:rPr>
          <w:rFonts w:ascii="宋体" w:hAnsi="宋体" w:eastAsia="宋体" w:cs="宋体"/>
          <w:sz w:val="24"/>
          <w:szCs w:val="22"/>
        </w:rPr>
        <w:t>与自然人相对应，法人是社会组织人格化的法律产物，其本质特征在于具备独立于成员的财产和责任能力。《民法典》摒弃了《民法通则》以"企业法人""非企业法人"为标准的分类逻辑，转而采纳了以法人目的为导向的三分法：营利法人、非营利法人与特别法人。营利法人以利润分配给成员或出资人为目的，有限责任公司与股份有限公司是其典型形态，构成市场经济的微观基础；非营利法人则服务于公益或其他非营利目的，事业单位、社会团体、基金会等均属此类，在教育、科技、文化等领域发挥着不可替代的社会功能；特别法人的设置体现了鲜明的本土特色，机关法人、农村集体经济组织法人等类型的纳入，是对我国特殊组织形态的法理确认，也是民法典回应中国现实的一种表现。</w:t>
      </w:r>
    </w:p>
    <w:p>
      <w:pPr>
        <w:pStyle w:val="1"/>
        <w:spacing w:before="0" w:after="0" w:line="360" w:lineRule="auto"/>
        <w:ind w:firstLine="480"/>
        <w:rPr>
          <w:color w:val="auto"/>
        </w:rPr>
      </w:pPr>
      <w:r>
        <w:rPr>
          <w:rFonts w:ascii="宋体" w:hAnsi="宋体" w:eastAsia="宋体" w:cs="宋体"/>
          <w:sz w:val="24"/>
          <w:szCs w:val="22"/>
        </w:rPr>
        <w:t>围绕法人生命的全过程，《民法典》建立了一套"从出生到死亡"的完整规则体系：设立阶段须满足法定条件并完成登记；存续阶段须依章程形成组织机构、确定代表人；终止阶段则须经历解散、清算、注销的法定程序。相较以往立法，清算义务人制度的新增颇具亮点。该制度明确了法人解散后的清算责任主体，填补了此前法律规制的空白，对于防范借解散逃废债务、维护债权人合法权益具有重要实践价值。</w:t>
      </w:r>
    </w:p>
    <w:p>
      <w:pPr>
        <w:pStyle w:val="1"/>
        <w:keepNext/>
        <w:spacing w:before="200" w:after="100" w:line="360" w:lineRule="auto"/>
        <w:ind w:firstLine="0"/>
        <w:rPr>
          <w:color w:val="auto"/>
        </w:rPr>
      </w:pPr>
      <w:r>
        <w:rPr>
          <w:rFonts w:ascii="黑体" w:hAnsi="黑体" w:eastAsia="黑体" w:cs="黑体"/>
          <w:b/>
          <w:sz w:val="24"/>
          <w:szCs w:val="22"/>
        </w:rPr>
        <w:t>（三）非法人组织</w:t>
      </w:r>
    </w:p>
    <w:p>
      <w:pPr>
        <w:pStyle w:val="1"/>
        <w:spacing w:before="0" w:after="0" w:line="360" w:lineRule="auto"/>
        <w:ind w:firstLine="480"/>
        <w:rPr>
          <w:color w:val="auto"/>
        </w:rPr>
      </w:pPr>
      <w:r>
        <w:rPr>
          <w:rFonts w:ascii="宋体" w:hAnsi="宋体" w:eastAsia="宋体" w:cs="宋体"/>
          <w:sz w:val="24"/>
          <w:szCs w:val="22"/>
        </w:rPr>
        <w:t>非法人组织的独立入编，是《民法典》主体制度的又一重要发展。此类组织——如个人独资企业、普通合伙与有限合伙、未取得法人资格的专业服务机构等——虽不具备法人资格，却能够在经营范围内以自己名义缔结合同、起诉应诉。《民法典》第四章以专章形式肯认其主体地位，并确立了出资人或设立人承担无限责任的财产规则。从立法技术上看，这一安排填补了《民法通则》以来自然人与法人二元格局的漏洞，使我国民事主体体系趋于周延；从实践层面看，它为大量中小微企业的法律地位提供了明确依据，降低了市场交易的制度成本。</w:t>
      </w:r>
    </w:p>
    <w:p>
      <w:pPr>
        <w:pStyle w:val="1"/>
        <w:keepNext/>
        <w:keepLines/>
        <w:spacing w:before="400" w:after="200" w:line="360" w:lineRule="auto"/>
        <w:ind w:firstLine="0"/>
        <w:rPr>
          <w:color w:val="auto"/>
        </w:rPr>
      </w:pPr>
      <w:r>
        <w:rPr>
          <w:rFonts w:ascii="黑体" w:hAnsi="黑体" w:eastAsia="黑体" w:cs="黑体"/>
          <w:b/>
          <w:sz w:val="28"/>
          <w:szCs w:val="22"/>
        </w:rPr>
        <w:t>三、民事法律关系客体与《民法典》的客体制度</w:t>
      </w:r>
    </w:p>
    <w:p>
      <w:pPr>
        <w:pStyle w:val="1"/>
        <w:spacing w:before="0" w:after="0" w:line="360" w:lineRule="auto"/>
        <w:ind w:firstLine="480"/>
        <w:rPr>
          <w:color w:val="auto"/>
        </w:rPr>
      </w:pPr>
      <w:r>
        <w:rPr>
          <w:rFonts w:ascii="宋体" w:hAnsi="宋体" w:eastAsia="宋体" w:cs="宋体"/>
          <w:sz w:val="24"/>
          <w:szCs w:val="22"/>
        </w:rPr>
        <w:t>如果说主体解决的是"谁在享有权利、承担义务"的问题，客体则回答"权利义务指向什么"这一追问。在民法理论上，客体被视为权利义务的承载者，是法律关系得以具体化的媒介。学者对客体的类型化存在不同见解，但通说倾向于将其归纳为物、给付行为、人身利益与智力成果四类。《民法典》虽未以专编形式集中规定客体制度，但其各编条文从不同面向勾勒出了客体制度的完整轮廓，呈现出一种"散见于各编"的立法技术特征。</w:t>
      </w:r>
    </w:p>
    <w:p>
      <w:pPr>
        <w:pStyle w:val="1"/>
        <w:keepNext/>
        <w:spacing w:before="200" w:after="100" w:line="360" w:lineRule="auto"/>
        <w:ind w:firstLine="0"/>
        <w:rPr>
          <w:color w:val="auto"/>
        </w:rPr>
      </w:pPr>
      <w:r>
        <w:rPr>
          <w:rFonts w:ascii="黑体" w:hAnsi="黑体" w:eastAsia="黑体" w:cs="黑体"/>
          <w:b/>
          <w:sz w:val="24"/>
          <w:szCs w:val="22"/>
        </w:rPr>
        <w:t>（一）物：物权关系的客体</w:t>
      </w:r>
    </w:p>
    <w:p>
      <w:pPr>
        <w:pStyle w:val="1"/>
        <w:spacing w:before="0" w:after="0" w:line="360" w:lineRule="auto"/>
        <w:ind w:firstLine="480"/>
        <w:rPr>
          <w:color w:val="auto"/>
        </w:rPr>
      </w:pPr>
      <w:r>
        <w:rPr>
          <w:rFonts w:ascii="宋体" w:hAnsi="宋体" w:eastAsia="宋体" w:cs="宋体"/>
          <w:sz w:val="24"/>
          <w:szCs w:val="22"/>
        </w:rPr>
        <w:t>物权以物为支配对象，此乃物权区别于债权的本质特征之一。第一百一十五条规定："物包括不动产和动产。法律规定权利作为物权客体的，依照其规定。"这一条款确立了"物为原则、权利为例外"的客体规则。物权编进而以所有权、用益物权、担保物权的类型化划分为线索，对各类物权的客体范围作了差异化规定——所有权的客体最为宽泛，凡法律未禁止流通之物皆可所有；用益物权的客体主要限于土地等不动产，体现对稀缺资源的有序利用；担保物权的客体则在《民法典》中获得了显著扩展，第七百四十条以下的权利质权条款将应收账款、股权、知识产权财产权等纳入担保客体范围，大大提升了经济资源的融资效率。</w:t>
      </w:r>
    </w:p>
    <w:p>
      <w:pPr>
        <w:pStyle w:val="1"/>
        <w:spacing w:before="0" w:after="0" w:line="360" w:lineRule="auto"/>
        <w:ind w:firstLine="480"/>
        <w:rPr>
          <w:color w:val="auto"/>
        </w:rPr>
      </w:pPr>
      <w:r>
        <w:rPr>
          <w:rFonts w:ascii="宋体" w:hAnsi="宋体" w:eastAsia="宋体" w:cs="宋体"/>
          <w:sz w:val="24"/>
          <w:szCs w:val="22"/>
        </w:rPr>
        <w:t>所有权作为一项全面支配权，其客体涵盖动产与不动产两大类。物权编在"所有权"分编中依所有制形态对三类所有权的客体范围作了区分：国家所有权的客体包括矿藏、水流、海域等专属性资源；集体所有权的客体主要指向农村集体土地；私人所有权的客体范围则最为广泛。值得关注的是建筑物区分所有权，其客体构造呈现出"专有部分+共有部分"的复合形态，适应了城市商品房住宅的普遍现实。用益物权部分，土地承包经营权、建设用地使用权、宅基地使用权、地役权的客体均指向土地这一不动产，立法目的在于通过权利配置实现土地资源的集约利用。至于担保物权，其客体范围的扩张是《民法典》的一大进步——从传统的不动产抵押、动产质押，延伸至权利质权领域，这一制度创新有效缓解了中小企业融资难、融资贵的现实困境，体现了民法典对市场经济需求的积极回应。</w:t>
      </w:r>
    </w:p>
    <w:p>
      <w:pPr>
        <w:pStyle w:val="1"/>
        <w:keepNext/>
        <w:spacing w:before="200" w:after="100" w:line="360" w:lineRule="auto"/>
        <w:ind w:firstLine="0"/>
        <w:rPr>
          <w:color w:val="auto"/>
        </w:rPr>
      </w:pPr>
      <w:r>
        <w:rPr>
          <w:rFonts w:ascii="黑体" w:hAnsi="黑体" w:eastAsia="黑体" w:cs="黑体"/>
          <w:b/>
          <w:sz w:val="24"/>
          <w:szCs w:val="22"/>
        </w:rPr>
        <w:t>（二）行为：债权关系的客体</w:t>
      </w:r>
    </w:p>
    <w:p>
      <w:pPr>
        <w:pStyle w:val="1"/>
        <w:spacing w:before="0" w:after="0" w:line="360" w:lineRule="auto"/>
        <w:ind w:firstLine="480"/>
        <w:rPr>
          <w:color w:val="auto"/>
        </w:rPr>
      </w:pPr>
      <w:r>
        <w:rPr>
          <w:rFonts w:ascii="宋体" w:hAnsi="宋体" w:eastAsia="宋体" w:cs="宋体"/>
          <w:sz w:val="24"/>
          <w:szCs w:val="22"/>
        </w:rPr>
        <w:t>与物权关系不同，债权关系中权利义务所指向的并非有形之物，而是债务人的特定给付行为——交付标的物、支付价款、提供劳务等皆属此类。正因如此，债权的客体在学理上常被表述为"给付"或"行为"。合同编作为《民法典》中条文最多、内容最繁的一编，其主线便在于为各类合同关系中的给付义务划定边界。第四百六十四条将合同界定为"民事主体之间设立、变更、终止民事法律关系的协议"，在此定义之下，买卖合同中的交付义务、借款合同中的返还义务、租赁合同中的用益提供义务等典型给付形态得到了细致规范。</w:t>
      </w:r>
    </w:p>
    <w:p>
      <w:pPr>
        <w:pStyle w:val="1"/>
        <w:spacing w:before="0" w:after="0" w:line="360" w:lineRule="auto"/>
        <w:ind w:firstLine="480"/>
        <w:rPr>
          <w:color w:val="auto"/>
        </w:rPr>
      </w:pPr>
      <w:r>
        <w:rPr>
          <w:rFonts w:ascii="宋体" w:hAnsi="宋体" w:eastAsia="宋体" w:cs="宋体"/>
          <w:sz w:val="24"/>
          <w:szCs w:val="22"/>
        </w:rPr>
        <w:t>除各类典型合同外，合同编的另一大贡献在于构建了债法的共通规则。从要约承诺的订立规则，到效力待定、可撤销等效力评价规则，再到同时履行抗辩、不安抗辩等履行保障规则，以及代位权、撤销权等保全规则，直至清偿、抵销、提存、免除等债的消灭规则——这些一般规定构成了债法总论的主体内容，为我国长期以来"有合同法、无债法总则"的立法缺憾提供了补足方案。它们适用于各类合同之债，也准用于侵权损害赔偿之债、不当得利之债和无因管理之债，为整个债权关系客体的确定提供了统一的规范基础。</w:t>
      </w:r>
    </w:p>
    <w:p>
      <w:pPr>
        <w:pStyle w:val="1"/>
        <w:keepNext/>
        <w:spacing w:before="200" w:after="100" w:line="360" w:lineRule="auto"/>
        <w:ind w:firstLine="0"/>
        <w:rPr>
          <w:color w:val="auto"/>
        </w:rPr>
      </w:pPr>
      <w:r>
        <w:rPr>
          <w:rFonts w:ascii="黑体" w:hAnsi="黑体" w:eastAsia="黑体" w:cs="黑体"/>
          <w:b/>
          <w:sz w:val="24"/>
          <w:szCs w:val="22"/>
        </w:rPr>
        <w:t>（三）人身利益：人身权关系的客体</w:t>
      </w:r>
    </w:p>
    <w:p>
      <w:pPr>
        <w:pStyle w:val="1"/>
        <w:spacing w:before="0" w:after="0" w:line="360" w:lineRule="auto"/>
        <w:ind w:firstLine="480"/>
        <w:rPr>
          <w:color w:val="auto"/>
        </w:rPr>
      </w:pPr>
      <w:r>
        <w:rPr>
          <w:rFonts w:ascii="宋体" w:hAnsi="宋体" w:eastAsia="宋体" w:cs="宋体"/>
          <w:sz w:val="24"/>
          <w:szCs w:val="22"/>
        </w:rPr>
        <w:t>人身权关系的客体乃人身利益，可进一步细分为人格利益与身份利益。人格权编第九百九十条明确列举了生命权、身体权、健康权、姓名权、名称权、肖像权、名誉权、荣誉权、隐私权等具体人格权益，并设专章对个人信息保护作出规定，形成了"具体人格权+一般人格权+个人信息"的三层保护架构。人格权独立成编，在比较法上确属罕见——无论是《德国民法典》将其嵌入侵权法，还是《日本民法典》将其置于总则，均未给予人格权如此显要的位置。这一安排的深层理由在于：当信息技术和网络传播深刻改变了个人生存境遇，传统侵权法的消极保护模式已难以有效回应人格尊严面临的现实威胁。人格权编的设立，标志着我国民法从"以财产为中心"向"财产与人格并重"的范式转型。</w:t>
      </w:r>
    </w:p>
    <w:p>
      <w:pPr>
        <w:pStyle w:val="1"/>
        <w:spacing w:before="0" w:after="0" w:line="360" w:lineRule="auto"/>
        <w:ind w:firstLine="480"/>
        <w:rPr>
          <w:color w:val="auto"/>
        </w:rPr>
      </w:pPr>
      <w:r>
        <w:rPr>
          <w:rFonts w:ascii="宋体" w:hAnsi="宋体" w:eastAsia="宋体" w:cs="宋体"/>
          <w:sz w:val="24"/>
          <w:szCs w:val="22"/>
        </w:rPr>
        <w:t>身份利益则主要体现在婚姻家庭编之中。与财产关系的可计算性不同，身份关系更多地承载着伦理属性与情感价值。婚姻家庭编所规定的配偶之间的忠实义务、扶养义务，父母对子女的抚养教育义务、子女对父母的赡养义务，以及收养关系中的拟制血亲效力等，无一不是将特定的身份地位转化为具体的权利义务内容。这些规定虽然条文数量不及合同编庞大，却深刻影响着社会最基本的细胞——家庭——的稳定与和谐。</w:t>
      </w:r>
    </w:p>
    <w:p>
      <w:pPr>
        <w:pStyle w:val="1"/>
        <w:keepNext/>
        <w:spacing w:before="200" w:after="100" w:line="360" w:lineRule="auto"/>
        <w:ind w:firstLine="0"/>
        <w:rPr>
          <w:color w:val="auto"/>
        </w:rPr>
      </w:pPr>
      <w:r>
        <w:rPr>
          <w:rFonts w:ascii="黑体" w:hAnsi="黑体" w:eastAsia="黑体" w:cs="黑体"/>
          <w:b/>
          <w:sz w:val="24"/>
          <w:szCs w:val="22"/>
        </w:rPr>
        <w:t>（四）智力成果：知识产权的客体</w:t>
      </w:r>
    </w:p>
    <w:p>
      <w:pPr>
        <w:pStyle w:val="1"/>
        <w:spacing w:before="0" w:after="0" w:line="360" w:lineRule="auto"/>
        <w:ind w:firstLine="480"/>
        <w:rPr>
          <w:color w:val="auto"/>
        </w:rPr>
      </w:pPr>
      <w:r>
        <w:rPr>
          <w:rFonts w:ascii="宋体" w:hAnsi="宋体" w:eastAsia="宋体" w:cs="宋体"/>
          <w:sz w:val="24"/>
          <w:szCs w:val="22"/>
        </w:rPr>
        <w:t>智力成果作为知识产权的客体，在《民法典》中获得了原则性肯认。第一百二十三条列举了作品、发明、实用新型、外观设计、商标、地理标志、商业秘密、集成电路布图设计、植物新品种等客体类型，并设置了兜底条款以容纳未来可能出现的新型知识产权。从立法技术上看，《民法典》对知识产权采取了"点题而不展开"的处理方式——相关条文主要起到权利宣示和体系链接的作用，具体的取得条件、保护范围、限制例外等内容则留给《著作权法》《专利法》《商标法》等单行法去规定。这种处理方式既维护了民法典作为基本法的稳定性，又为知识产权制度的后续发展预留了充足空间。</w:t>
      </w:r>
    </w:p>
    <w:p>
      <w:pPr>
        <w:pStyle w:val="1"/>
        <w:keepNext/>
        <w:keepLines/>
        <w:spacing w:before="400" w:after="200" w:line="360" w:lineRule="auto"/>
        <w:ind w:firstLine="0"/>
        <w:rPr>
          <w:color w:val="auto"/>
        </w:rPr>
      </w:pPr>
      <w:r>
        <w:rPr>
          <w:rFonts w:ascii="黑体" w:hAnsi="黑体" w:eastAsia="黑体" w:cs="黑体"/>
          <w:b/>
          <w:sz w:val="28"/>
          <w:szCs w:val="22"/>
        </w:rPr>
        <w:t>四、民事法律关系内容与《民法典》的权利义务体系</w:t>
      </w:r>
    </w:p>
    <w:p>
      <w:pPr>
        <w:pStyle w:val="1"/>
        <w:spacing w:before="0" w:after="0" w:line="360" w:lineRule="auto"/>
        <w:ind w:firstLine="480"/>
        <w:rPr>
          <w:color w:val="auto"/>
        </w:rPr>
      </w:pPr>
      <w:r>
        <w:rPr>
          <w:rFonts w:ascii="宋体" w:hAnsi="宋体" w:eastAsia="宋体" w:cs="宋体"/>
          <w:sz w:val="24"/>
          <w:szCs w:val="22"/>
        </w:rPr>
        <w:t>民事法律关系的内容，即主体间的权利义务配置。在民事法律关系的诸要素中，内容居于核心地位——主体为谁、客体为何物，最终都要服务于权利义务的具体安排这一目的。《民法典》正是通过为不同类型的法律关系配置差异化的权利义务内容，才实现了对社会关系的精细化调整。可以说，整部法典的各编都是从不同侧面描绘民事权利义务体系的某一个截面，将这些截面拼接起来，便形成了一幅层次分明、逻辑自洽的权利义务全景图。</w:t>
      </w:r>
    </w:p>
    <w:p>
      <w:pPr>
        <w:pStyle w:val="1"/>
        <w:keepNext/>
        <w:spacing w:before="200" w:after="100" w:line="360" w:lineRule="auto"/>
        <w:ind w:firstLine="0"/>
        <w:rPr>
          <w:color w:val="auto"/>
        </w:rPr>
      </w:pPr>
      <w:r>
        <w:rPr>
          <w:rFonts w:ascii="黑体" w:hAnsi="黑体" w:eastAsia="黑体" w:cs="黑体"/>
          <w:b/>
          <w:sz w:val="24"/>
          <w:szCs w:val="22"/>
        </w:rPr>
        <w:t>（一）民事权利体系</w:t>
      </w:r>
    </w:p>
    <w:p>
      <w:pPr>
        <w:pStyle w:val="1"/>
        <w:spacing w:before="0" w:after="0" w:line="360" w:lineRule="auto"/>
        <w:ind w:firstLine="480"/>
        <w:rPr>
          <w:color w:val="auto"/>
        </w:rPr>
      </w:pPr>
      <w:r>
        <w:rPr>
          <w:rFonts w:ascii="宋体" w:hAnsi="宋体" w:eastAsia="宋体" w:cs="宋体"/>
          <w:sz w:val="24"/>
          <w:szCs w:val="22"/>
        </w:rPr>
        <w:t>总则编第五章"民事权利"堪称整部法典的"权利宣言"。第一百二十六条以"民事主体享有法律规定的其他民事权利和利益"作结，兜底条款的设置体现了权利保护的开放性立场。从该条向前追溯，物权、债权、知识产权、继承权、股权等权利类型依次排列；向后展望，数据和网络虚拟财产的保护也被纳入其中，展现了立法者对数字经济时代新型财产形态的敏锐回应。这一章的条文虽多为宣示性规范，却具有不可忽视的体系价值——它为整个民法典确立了"权利本位"的基调，也为法官在法律适用中运用类推、目的性扩张等解释方法提供了规范依据。</w:t>
      </w:r>
    </w:p>
    <w:p>
      <w:pPr>
        <w:pStyle w:val="1"/>
        <w:spacing w:before="0" w:after="0" w:line="360" w:lineRule="auto"/>
        <w:ind w:firstLine="480"/>
        <w:rPr>
          <w:color w:val="auto"/>
        </w:rPr>
      </w:pPr>
      <w:r>
        <w:rPr>
          <w:rFonts w:ascii="宋体" w:hAnsi="宋体" w:eastAsia="宋体" w:cs="宋体"/>
          <w:sz w:val="24"/>
          <w:szCs w:val="22"/>
        </w:rPr>
        <w:t>物权编对各类物权的权能配置作了详尽规定。所有权包含占有、使用、收益、处分四项积极权能，同时也受到相邻关系、征收征用等制度的约束，呈现出"全能但非绝对"的法律特征。用益物权的权能配置围绕"用"与"益"展开：土地承包经营权强调对农地的长期稳定利用，建设用地使用权解决了城市土地国家所有与市场化利用之间的张力，宅基地使用权承载着农村住房保障的社会功能，地役权则为不动产的协调利用提供了意定通道。担保物权的权能则具有从属性与变价性——抵押权人、质权人、留置权人虽不能直接使用担保物，却能在债务不履行时通过拍卖、变卖担保财产实现优先受偿，这一权能设计精准地平衡了融资便利与债权保障的双重目标。</w:t>
      </w:r>
    </w:p>
    <w:p>
      <w:pPr>
        <w:pStyle w:val="1"/>
        <w:spacing w:before="0" w:after="0" w:line="360" w:lineRule="auto"/>
        <w:ind w:firstLine="480"/>
        <w:rPr>
          <w:color w:val="auto"/>
        </w:rPr>
      </w:pPr>
      <w:r>
        <w:rPr>
          <w:rFonts w:ascii="宋体" w:hAnsi="宋体" w:eastAsia="宋体" w:cs="宋体"/>
          <w:sz w:val="24"/>
          <w:szCs w:val="22"/>
        </w:rPr>
        <w:t>债权体系在《民法典》中获得了前所未有的体系化整理。合同编通过"通则—典型合同—准合同"的三层结构，将合同之债与法定之债整合在同一编中。"通则"部分事实上发挥了债法总则的功能，第五百一十八条至第五百二十一条关于按份之债与连带之债的规定，第五百五十七条以下关于债的消灭的规定，均具有债法共通规则的属性。"准合同"部分纳入无因管理与不当得利，使法定之债在法典中有了明确位置。对于学界长期呼吁的"债法总则"，《民法典》虽因体例限制未设独立一编，但合同编通则的实质内容在很大程度上弥补了这一缺憾。</w:t>
      </w:r>
    </w:p>
    <w:p>
      <w:pPr>
        <w:pStyle w:val="1"/>
        <w:spacing w:before="0" w:after="0" w:line="360" w:lineRule="auto"/>
        <w:ind w:firstLine="480"/>
        <w:rPr>
          <w:color w:val="auto"/>
        </w:rPr>
      </w:pPr>
      <w:r>
        <w:rPr>
          <w:rFonts w:ascii="宋体" w:hAnsi="宋体" w:eastAsia="宋体" w:cs="宋体"/>
          <w:sz w:val="24"/>
          <w:szCs w:val="22"/>
        </w:rPr>
        <w:t>人身权利的内容体系横跨人格权编与婚姻家庭编两个领域。人格权编对各项人格权的权能内涵作了类型化处理：生命权、身体权、健康权的权能主要体现为对此等人格利益的完整保有与排除侵害；姓名权、名称权的权能包含决定、使用、变更或许可他人使用等内容；肖像权、名誉权的权能则侧重于禁止未经许可的利用和贬损。第九百九十一条确立的一般人格权兜底条款，更为新兴人格利益的保护提供了制度接口。婚姻家庭编所规定的身份权利则呈现出鲜明的义务面向——夫妻间的忠实义务、共同扶养义务，父母对子女的监护职责，这些"权利"的行使往往与特定义务的履行密不可分，反映了身份关系所固有的伦理属性。</w:t>
      </w:r>
    </w:p>
    <w:p>
      <w:pPr>
        <w:pStyle w:val="1"/>
        <w:keepNext/>
        <w:spacing w:before="200" w:after="100" w:line="360" w:lineRule="auto"/>
        <w:ind w:firstLine="0"/>
        <w:rPr>
          <w:color w:val="auto"/>
        </w:rPr>
      </w:pPr>
      <w:r>
        <w:rPr>
          <w:rFonts w:ascii="黑体" w:hAnsi="黑体" w:eastAsia="黑体" w:cs="黑体"/>
          <w:b/>
          <w:sz w:val="24"/>
          <w:szCs w:val="22"/>
        </w:rPr>
        <w:t>（二）民事义务体系</w:t>
      </w:r>
    </w:p>
    <w:p>
      <w:pPr>
        <w:pStyle w:val="1"/>
        <w:spacing w:before="0" w:after="0" w:line="360" w:lineRule="auto"/>
        <w:ind w:firstLine="480"/>
        <w:rPr>
          <w:color w:val="auto"/>
        </w:rPr>
      </w:pPr>
      <w:r>
        <w:rPr>
          <w:rFonts w:ascii="宋体" w:hAnsi="宋体" w:eastAsia="宋体" w:cs="宋体"/>
          <w:sz w:val="24"/>
          <w:szCs w:val="22"/>
        </w:rPr>
        <w:t>权利与义务犹如一枚硬币的两面，对权利内容的讨论若不伴以对义务的分析，便难免失之片面。《民法典》对民事义务的规定散见于各编，但依其来源可作类型化整理。约定义务源于当事人的自主意思表示，合同编第五百零九条将"全面履行义务"确立为合同履行的基本原则，要求债务人按照约定的标的、数量、质量、期限等完成给付。法定义务则不以当事人意志为转移：侵权责任编第一千一百六十五条确立的过错责任原则，其反面解读即"不得侵害他人权益"的普遍性不作为义务；婚姻家庭编第一千零四十三条规定的夫妻互相忠实、互相尊重、互相关爱的义务，则属于身份法上的法定义务。两类义务来源不同，却在功能上相互补充——约定义务拓展了民事主体自由安排生活的空间，法定义务则为这一自由划定了边界。</w:t>
      </w:r>
    </w:p>
    <w:p>
      <w:pPr>
        <w:pStyle w:val="1"/>
        <w:spacing w:before="0" w:after="0" w:line="360" w:lineRule="auto"/>
        <w:ind w:firstLine="480"/>
        <w:rPr>
          <w:color w:val="auto"/>
        </w:rPr>
      </w:pPr>
      <w:r>
        <w:rPr>
          <w:rFonts w:ascii="宋体" w:hAnsi="宋体" w:eastAsia="宋体" w:cs="宋体"/>
          <w:sz w:val="24"/>
          <w:szCs w:val="22"/>
        </w:rPr>
        <w:t>从行为样态的角度观察，民事义务又可区分为作为义务与不作为义务。作为义务要求义务人实施特定行为，买卖合同中出卖人的交付义务、委托合同中受托人的处理事务义务均属此类。此类义务违反的形态通常是"当为而不为"。不作为义务则要求义务人抑制特定行为，主要适用于人格权保护和相邻关系领域——任何人不得未经许可使用他人肖像，不得实施噪音侵扰等。实务中，不作为义务的违反往往比作为义务的认定更为复杂，因为它涉及对"行为边界"的判断，需要结合具体情境加以分析。两类义务的划分并非绝对，某些法律关系中可能同时包含两种义务，如租赁合同中的出租人既负有交付房屋的作为义务，也负有不干扰承租人用益的不作为义务。</w:t>
      </w:r>
    </w:p>
    <w:p>
      <w:pPr>
        <w:pStyle w:val="1"/>
        <w:keepNext/>
        <w:spacing w:before="200" w:after="100" w:line="360" w:lineRule="auto"/>
        <w:ind w:firstLine="0"/>
        <w:rPr>
          <w:color w:val="auto"/>
        </w:rPr>
      </w:pPr>
      <w:r>
        <w:rPr>
          <w:rFonts w:ascii="黑体" w:hAnsi="黑体" w:eastAsia="黑体" w:cs="黑体"/>
          <w:b/>
          <w:sz w:val="24"/>
          <w:szCs w:val="22"/>
        </w:rPr>
        <w:t>（三）民事责任体系</w:t>
      </w:r>
    </w:p>
    <w:p>
      <w:pPr>
        <w:pStyle w:val="1"/>
        <w:spacing w:before="0" w:after="0" w:line="360" w:lineRule="auto"/>
        <w:ind w:firstLine="480"/>
        <w:rPr>
          <w:color w:val="auto"/>
        </w:rPr>
      </w:pPr>
      <w:r>
        <w:rPr>
          <w:rFonts w:ascii="宋体" w:hAnsi="宋体" w:eastAsia="宋体" w:cs="宋体"/>
          <w:sz w:val="24"/>
          <w:szCs w:val="22"/>
        </w:rPr>
        <w:t>民事责任制度位于权利保护与义务履行的末端环节，发挥着"最后防线"的制度功能。《民法典》总则编第八章确立了民事责任的一般规范：第一百七十九条列举了停止侵害、排除妨碍、消除危险、返还财产、恢复原状、赔偿损失等十一种责任承担方式，为法官提供了"菜单式"的裁判工具；第一百七十七条和第一百七十八条对按份责任与连带责任作了基础性区分；第一百八十六条则确立了违约责任与侵权责任竞合时的请求权选择规则。这些一般规定具有跨领域的适用效力，无论请求权基础源于合同编还是侵权责任编，最终都要回到总则编的一般规则中确定责任的承担方式。</w:t>
      </w:r>
    </w:p>
    <w:p>
      <w:pPr>
        <w:pStyle w:val="1"/>
        <w:spacing w:before="0" w:after="0" w:line="360" w:lineRule="auto"/>
        <w:ind w:firstLine="480"/>
        <w:rPr>
          <w:color w:val="auto"/>
        </w:rPr>
      </w:pPr>
      <w:r>
        <w:rPr>
          <w:rFonts w:ascii="宋体" w:hAnsi="宋体" w:eastAsia="宋体" w:cs="宋体"/>
          <w:sz w:val="24"/>
          <w:szCs w:val="22"/>
        </w:rPr>
        <w:t>侵权责任编的修订集中体现了《民法典》对权利救济机制的强化。在归责原则上，第一千一百六十五条（过错责任）与第一千一百六十六条（无过错责任）的二元结构保持了稳定，但危险责任条款的细化使无过错责任的适用更加明确。特殊侵权部分，网络侵权责任、机动车交通事故责任、医疗损害责任等规则的完善，回应了社会生活中频发的纠纷类型。尤值一提的是第一千一百七十六条"自甘风险"条款与第一千一百七十七条"自助行为"条款的新增——前者为体育竞技、探险活动等具有一定危险性的社会交往提供了责任豁免依据，后者则在紧急情况下为权利人的自力救济预留了合法空间。这两项制度的引入，使我国侵权责任体系更加契合社会现实，也填补了此前立法中的制度空白。</w:t>
      </w:r>
    </w:p>
    <w:p>
      <w:pPr>
        <w:pStyle w:val="1"/>
        <w:keepNext/>
        <w:keepLines/>
        <w:spacing w:before="400" w:after="200" w:line="360" w:lineRule="auto"/>
        <w:ind w:firstLine="0"/>
        <w:rPr>
          <w:color w:val="auto"/>
        </w:rPr>
      </w:pPr>
      <w:r>
        <w:rPr>
          <w:rFonts w:ascii="黑体" w:hAnsi="黑体" w:eastAsia="黑体" w:cs="黑体"/>
          <w:b/>
          <w:sz w:val="28"/>
          <w:szCs w:val="22"/>
        </w:rPr>
        <w:t>五、结语</w:t>
      </w:r>
    </w:p>
    <w:p>
      <w:pPr>
        <w:pStyle w:val="1"/>
        <w:spacing w:before="0" w:after="0" w:line="360" w:lineRule="auto"/>
        <w:ind w:firstLine="480"/>
        <w:rPr>
          <w:color w:val="auto"/>
        </w:rPr>
      </w:pPr>
      <w:r>
        <w:rPr>
          <w:rFonts w:ascii="宋体" w:hAnsi="宋体" w:eastAsia="宋体" w:cs="宋体"/>
          <w:sz w:val="24"/>
          <w:szCs w:val="22"/>
        </w:rPr>
        <w:t>回溯全文，民事法律关系的三要素理论为理解《民法典》提供了一把钥匙。透过这把钥匙，我们得以窥见法典体系背后的深层逻辑：主体制度上，自然人、法人、非法人组织的三元格局超越了传统的二元分立，回应了社会组织的多样化趋势；客体制度上，物、给付行为、人身利益、智力成果四类客体的区分与衔接，支撑着物权、债权、人身权、知识产权四大权利板块的展开；内容制度上，权利—义务—责任的三位一体结构，则构成了法律关系从正常运行到救济保障的完整闭环。三要素并非彼此孤立，而是相互渗透、动态关联——主体资格影响着权利义务的归属，客体类型决定着权利义务的内容，而权利义务的配置又反向塑造了主体之间的关系模式。</w:t>
      </w:r>
    </w:p>
    <w:p>
      <w:pPr>
        <w:pStyle w:val="1"/>
        <w:spacing w:before="0" w:after="0" w:line="360" w:lineRule="auto"/>
        <w:ind w:firstLine="480"/>
        <w:rPr>
          <w:color w:val="auto"/>
        </w:rPr>
      </w:pPr>
      <w:r>
        <w:rPr>
          <w:rFonts w:ascii="宋体" w:hAnsi="宋体" w:eastAsia="宋体" w:cs="宋体"/>
          <w:sz w:val="24"/>
          <w:szCs w:val="22"/>
        </w:rPr>
        <w:t>《民法典》的体系安排绝非简单的理论推演产物，而是理想逻辑与社会现实交互作用的结果。在社会主义市场经济纵深发展的今天，民事法律关系的复杂程度已远非《民法通则》时代可比：平台经济催生了新型交易主体，数字经济带来了虚拟财产的保护需求，人口结构变化对监护制度提出了新的挑战——这些现实需求都在《民法典》中找到了制度回应。"社会生活的百科全书""民事权利的宣言书"，这些定位并非溢美之词，而是对法典功能的真实写照。对于法律实务工作者而言，准确把握三要素的理论框架，有助于在个案裁判中厘清法律关系的结构、找准规范适用的坐标；对于法学研究者而言，深入理解法典的体系逻辑，则是开展后续解释论和立法论研究的基础。唯有将体系把握与具体适用相结合，方能真正释放《民法典》的制度效能，使其在全面依法治国的进程中发挥应有的作用。</w:t>
      </w:r>
    </w:p>
    <w:sectPr>
      <w:pgSz w:w="11906" w:h="16838"/>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3B8D33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360" w:lineRule="auto"/>
      <w:ind w:firstLine="480"/>
    </w:pPr>
    <w:rPr>
      <w:rFonts w:ascii="宋体" w:hAnsi="宋体" w:eastAsia="宋体"/>
      <w:color w:val="2D3748"/>
      <w:sz w:val="24"/>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4920</Words>
  <Characters>4947</Characters>
  <TotalTime>0</TotalTime>
  <ScaleCrop>false</ScaleCrop>
  <LinksUpToDate>false</LinksUpToDate>
  <CharactersWithSpaces>4955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2026-05-08T18:22:36Z</dcterms:created>
  <dc:creator>19363</dc:creator>
  <cp:lastModifiedBy>派大星</cp:lastModifiedBy>
  <dcterms:modified xsi:type="dcterms:W3CDTF">2026-05-08T18:23:55Z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eyJoZGlkIjoiNDkwZDUzODkzMDU0MjAxZjZlZGQ5MzM4MzAwYjE1YjUiLCJ1c2VySWQiOiIxMTMzMDQyOTQ5In0=</vt:lpwstr>
  </property>
  <property fmtid="{D5CDD505-2E9C-101B-9397-08002B2CF9AE}" pid="3" name="KSOProductBuildVer">
    <vt:lpwstr>2052-12.1.0.25865</vt:lpwstr>
  </property>
  <property fmtid="{D5CDD505-2E9C-101B-9397-08002B2CF9AE}" pid="4" name="ICV">
    <vt:lpwstr>B58686ABD1D34458970CE359A682F897_12</vt:lpwstr>
  </property>
</Properties>
</file>